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04070" w14:textId="25A1A72D" w:rsidR="00176C78" w:rsidRDefault="00176C78">
      <w:pPr>
        <w:pStyle w:val="Body"/>
        <w:widowControl w:val="0"/>
        <w:spacing w:after="240"/>
        <w:rPr>
          <w:b/>
          <w:bCs/>
          <w:color w:val="FF2600"/>
          <w:sz w:val="26"/>
          <w:szCs w:val="26"/>
        </w:rPr>
      </w:pPr>
      <w:r>
        <w:rPr>
          <w:b/>
          <w:bCs/>
          <w:noProof/>
          <w:color w:val="FF2600"/>
          <w:sz w:val="26"/>
          <w:szCs w:val="26"/>
        </w:rPr>
        <w:drawing>
          <wp:inline distT="0" distB="0" distL="0" distR="0" wp14:anchorId="45974163" wp14:editId="54378B93">
            <wp:extent cx="2235200" cy="5029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0" t="11565" r="4273" b="12104"/>
                    <a:stretch/>
                  </pic:blipFill>
                  <pic:spPr bwMode="auto">
                    <a:xfrm>
                      <a:off x="0" y="0"/>
                      <a:ext cx="2240658" cy="5041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6825D3" w14:textId="1588A0DF" w:rsidR="00EE770C" w:rsidRPr="00F04C95" w:rsidRDefault="00841FAA">
      <w:pPr>
        <w:pStyle w:val="Body"/>
        <w:widowControl w:val="0"/>
        <w:spacing w:after="240"/>
        <w:rPr>
          <w:rFonts w:ascii="Avenir Book" w:hAnsi="Avenir Book"/>
          <w:color w:val="C00000"/>
          <w:sz w:val="26"/>
          <w:szCs w:val="26"/>
        </w:rPr>
      </w:pPr>
      <w:r w:rsidRPr="00F04C95">
        <w:rPr>
          <w:rFonts w:ascii="Avenir Book" w:hAnsi="Avenir Book"/>
          <w:color w:val="C00000"/>
          <w:sz w:val="26"/>
          <w:szCs w:val="26"/>
        </w:rPr>
        <w:t>Sample letter for your treating HAE physician to complete:</w:t>
      </w:r>
    </w:p>
    <w:p w14:paraId="7BC24DD4" w14:textId="77777777" w:rsidR="007E7905" w:rsidRPr="00176C78" w:rsidRDefault="00841FAA" w:rsidP="00393548">
      <w:pPr>
        <w:pStyle w:val="Body"/>
        <w:widowControl w:val="0"/>
        <w:spacing w:after="240"/>
        <w:jc w:val="both"/>
        <w:rPr>
          <w:rFonts w:ascii="Avenir Book" w:eastAsia="MS Mincho" w:hAnsi="Avenir Book"/>
          <w:sz w:val="20"/>
          <w:szCs w:val="20"/>
        </w:rPr>
      </w:pPr>
      <w:r w:rsidRPr="00176C78">
        <w:rPr>
          <w:rFonts w:ascii="Avenir Book" w:hAnsi="Avenir Book"/>
          <w:sz w:val="20"/>
          <w:szCs w:val="20"/>
        </w:rPr>
        <w:t>Date:</w:t>
      </w:r>
    </w:p>
    <w:p w14:paraId="607FE538" w14:textId="05E496E4" w:rsidR="00EE770C" w:rsidRPr="00176C78" w:rsidRDefault="00841FAA" w:rsidP="00393548">
      <w:pPr>
        <w:pStyle w:val="Body"/>
        <w:widowControl w:val="0"/>
        <w:spacing w:after="240"/>
        <w:jc w:val="both"/>
        <w:rPr>
          <w:rFonts w:ascii="Avenir Book" w:hAnsi="Avenir Book"/>
          <w:sz w:val="20"/>
          <w:szCs w:val="20"/>
        </w:rPr>
      </w:pPr>
      <w:r w:rsidRPr="00176C78">
        <w:rPr>
          <w:rFonts w:ascii="Avenir Book" w:hAnsi="Avenir Book"/>
          <w:sz w:val="20"/>
          <w:szCs w:val="20"/>
          <w:lang w:val="fr-FR"/>
        </w:rPr>
        <w:t xml:space="preserve">RE: Patient </w:t>
      </w:r>
      <w:r w:rsidR="007E7905" w:rsidRPr="00176C78">
        <w:rPr>
          <w:rFonts w:ascii="Avenir Book" w:hAnsi="Avenir Book"/>
          <w:sz w:val="20"/>
          <w:szCs w:val="20"/>
          <w:u w:val="single"/>
          <w:lang w:val="fr-FR"/>
        </w:rPr>
        <w:tab/>
      </w:r>
      <w:r w:rsidR="007E7905" w:rsidRPr="00176C78">
        <w:rPr>
          <w:rFonts w:ascii="Avenir Book" w:hAnsi="Avenir Book"/>
          <w:sz w:val="20"/>
          <w:szCs w:val="20"/>
          <w:u w:val="single"/>
          <w:lang w:val="fr-FR"/>
        </w:rPr>
        <w:tab/>
      </w:r>
      <w:r w:rsidR="007E7905" w:rsidRPr="00176C78">
        <w:rPr>
          <w:rFonts w:ascii="Avenir Book" w:hAnsi="Avenir Book"/>
          <w:sz w:val="20"/>
          <w:szCs w:val="20"/>
          <w:u w:val="single"/>
          <w:lang w:val="fr-FR"/>
        </w:rPr>
        <w:tab/>
      </w:r>
      <w:r w:rsidR="007E7905" w:rsidRPr="00176C78">
        <w:rPr>
          <w:rFonts w:ascii="Avenir Book" w:hAnsi="Avenir Book"/>
          <w:sz w:val="20"/>
          <w:szCs w:val="20"/>
          <w:u w:val="single"/>
          <w:lang w:val="fr-FR"/>
        </w:rPr>
        <w:tab/>
      </w:r>
      <w:r w:rsidR="007E7905" w:rsidRPr="00176C78">
        <w:rPr>
          <w:rFonts w:ascii="Avenir Book" w:hAnsi="Avenir Book"/>
          <w:sz w:val="20"/>
          <w:szCs w:val="20"/>
          <w:u w:val="single"/>
          <w:lang w:val="fr-FR"/>
        </w:rPr>
        <w:tab/>
      </w:r>
      <w:r w:rsidR="007E7905" w:rsidRPr="00176C78">
        <w:rPr>
          <w:rFonts w:ascii="Avenir Book" w:hAnsi="Avenir Book"/>
          <w:sz w:val="20"/>
          <w:szCs w:val="20"/>
          <w:u w:val="single"/>
          <w:lang w:val="fr-FR"/>
        </w:rPr>
        <w:tab/>
      </w:r>
    </w:p>
    <w:p w14:paraId="25897FD2" w14:textId="77777777" w:rsidR="00EE770C" w:rsidRPr="00176C78" w:rsidRDefault="00841FAA" w:rsidP="00393548">
      <w:pPr>
        <w:pStyle w:val="Body"/>
        <w:widowControl w:val="0"/>
        <w:spacing w:after="240"/>
        <w:jc w:val="both"/>
        <w:rPr>
          <w:rFonts w:ascii="Avenir Book" w:hAnsi="Avenir Book"/>
          <w:sz w:val="20"/>
          <w:szCs w:val="20"/>
        </w:rPr>
      </w:pPr>
      <w:r w:rsidRPr="00176C78">
        <w:rPr>
          <w:rFonts w:ascii="Avenir Book" w:hAnsi="Avenir Book"/>
          <w:sz w:val="20"/>
          <w:szCs w:val="20"/>
        </w:rPr>
        <w:t xml:space="preserve">To Whom It May Concern: </w:t>
      </w:r>
    </w:p>
    <w:p w14:paraId="26F9530A" w14:textId="1795EEDC" w:rsidR="00EE770C" w:rsidRPr="00176C78" w:rsidRDefault="00841FAA" w:rsidP="00393548">
      <w:pPr>
        <w:pStyle w:val="Body"/>
        <w:widowControl w:val="0"/>
        <w:spacing w:after="160"/>
        <w:jc w:val="both"/>
        <w:rPr>
          <w:rFonts w:ascii="Avenir Book" w:hAnsi="Avenir Book"/>
          <w:sz w:val="20"/>
          <w:szCs w:val="20"/>
        </w:rPr>
      </w:pPr>
      <w:r w:rsidRPr="00176C78">
        <w:rPr>
          <w:rFonts w:ascii="Avenir Book" w:hAnsi="Avenir Book"/>
          <w:b/>
          <w:bCs/>
          <w:sz w:val="20"/>
          <w:szCs w:val="20"/>
        </w:rPr>
        <w:t>[INSERT PATIENT NAME]</w:t>
      </w:r>
      <w:r w:rsidRPr="00176C78">
        <w:rPr>
          <w:rFonts w:ascii="Avenir Book" w:hAnsi="Avenir Book"/>
          <w:sz w:val="20"/>
          <w:szCs w:val="20"/>
        </w:rPr>
        <w:t xml:space="preserve"> is a patient under my care for the management of Hereditary Angioedema (HAE), a rare, potentially life-threatening genetic disease.  HAE is a genetic condition characterized by unpredictable, recurrent attacks of localized edema.  Swelling can occur in the hands, feet, face, genital </w:t>
      </w:r>
      <w:r w:rsidR="00393548" w:rsidRPr="00176C78">
        <w:rPr>
          <w:rFonts w:ascii="Avenir Book" w:hAnsi="Avenir Book"/>
          <w:sz w:val="20"/>
          <w:szCs w:val="20"/>
        </w:rPr>
        <w:t>area,</w:t>
      </w:r>
      <w:r w:rsidRPr="00176C78">
        <w:rPr>
          <w:rFonts w:ascii="Avenir Book" w:hAnsi="Avenir Book"/>
          <w:sz w:val="20"/>
          <w:szCs w:val="20"/>
        </w:rPr>
        <w:t xml:space="preserve"> or throat. Airway (throat) swelling is particularly dangerous and can lead to death by suffocation. </w:t>
      </w:r>
    </w:p>
    <w:p w14:paraId="24A3AC89" w14:textId="4D9702C3" w:rsidR="00EE770C" w:rsidRPr="00176C78" w:rsidRDefault="00841FAA" w:rsidP="00393548">
      <w:pPr>
        <w:pStyle w:val="Body"/>
        <w:widowControl w:val="0"/>
        <w:spacing w:after="160"/>
        <w:jc w:val="both"/>
        <w:rPr>
          <w:rFonts w:ascii="Avenir Book" w:hAnsi="Avenir Book"/>
          <w:sz w:val="20"/>
          <w:szCs w:val="20"/>
        </w:rPr>
      </w:pPr>
      <w:r w:rsidRPr="00176C78">
        <w:rPr>
          <w:rFonts w:ascii="Avenir Book" w:hAnsi="Avenir Book"/>
          <w:sz w:val="20"/>
          <w:szCs w:val="20"/>
        </w:rPr>
        <w:t xml:space="preserve">In addition, patients often suffer bouts of excruciating abdominal pain, nausea and vomiting that is caused by swelling in the intestinal wall.  Untreated HAE swelling attacks can last 24-72 hours. </w:t>
      </w:r>
    </w:p>
    <w:p w14:paraId="361EC0FD" w14:textId="77777777" w:rsidR="00EE770C" w:rsidRPr="00176C78" w:rsidRDefault="00841FAA" w:rsidP="00393548">
      <w:pPr>
        <w:pStyle w:val="NormalWeb"/>
        <w:shd w:val="clear" w:color="auto" w:fill="FFFFFF"/>
        <w:spacing w:before="0" w:after="160"/>
        <w:jc w:val="both"/>
        <w:rPr>
          <w:rFonts w:ascii="Avenir Book" w:eastAsia="Avenir Black" w:hAnsi="Avenir Book" w:cs="Calibri"/>
          <w:sz w:val="20"/>
          <w:szCs w:val="20"/>
        </w:rPr>
      </w:pPr>
      <w:r w:rsidRPr="00176C78">
        <w:rPr>
          <w:rFonts w:ascii="Avenir Book" w:hAnsi="Avenir Book" w:cs="Calibri"/>
          <w:sz w:val="20"/>
          <w:szCs w:val="20"/>
        </w:rPr>
        <w:t>Expert physicians cite two approaches to HAE therapy:</w:t>
      </w:r>
    </w:p>
    <w:p w14:paraId="54DE6CBF" w14:textId="77777777" w:rsidR="00EE770C" w:rsidRPr="00176C78" w:rsidRDefault="00841FAA" w:rsidP="00393548">
      <w:pPr>
        <w:pStyle w:val="NormalWeb"/>
        <w:numPr>
          <w:ilvl w:val="0"/>
          <w:numId w:val="2"/>
        </w:numPr>
        <w:shd w:val="clear" w:color="auto" w:fill="FFFFFF"/>
        <w:spacing w:before="0" w:after="160"/>
        <w:jc w:val="both"/>
        <w:rPr>
          <w:rFonts w:ascii="Avenir Book" w:eastAsia="Avenir Book" w:hAnsi="Avenir Book" w:cs="Calibri"/>
          <w:sz w:val="20"/>
          <w:szCs w:val="20"/>
        </w:rPr>
      </w:pPr>
      <w:r w:rsidRPr="00176C78">
        <w:rPr>
          <w:rFonts w:ascii="Avenir Book" w:hAnsi="Avenir Book" w:cs="Calibri"/>
          <w:sz w:val="20"/>
          <w:szCs w:val="20"/>
        </w:rPr>
        <w:t xml:space="preserve">On-Demand treatment should be considered when a patient is having an acute attack.  Current on-demand therapies, particularly when taken as soon as the patient feels symptoms, are highly effective in reducing the severity and duration of symptoms. </w:t>
      </w:r>
    </w:p>
    <w:p w14:paraId="73FEB61F" w14:textId="77777777" w:rsidR="00EE770C" w:rsidRPr="00176C78" w:rsidRDefault="00841FAA" w:rsidP="00393548">
      <w:pPr>
        <w:pStyle w:val="NormalWeb"/>
        <w:numPr>
          <w:ilvl w:val="0"/>
          <w:numId w:val="2"/>
        </w:numPr>
        <w:shd w:val="clear" w:color="auto" w:fill="FFFFFF"/>
        <w:spacing w:before="0" w:after="80"/>
        <w:ind w:left="568" w:hanging="284"/>
        <w:jc w:val="both"/>
        <w:rPr>
          <w:rFonts w:ascii="Avenir Book" w:eastAsia="Avenir Book" w:hAnsi="Avenir Book" w:cs="Calibri"/>
          <w:sz w:val="20"/>
          <w:szCs w:val="20"/>
        </w:rPr>
      </w:pPr>
      <w:r w:rsidRPr="00176C78">
        <w:rPr>
          <w:rFonts w:ascii="Avenir Book" w:hAnsi="Avenir Book" w:cs="Calibri"/>
          <w:sz w:val="20"/>
          <w:szCs w:val="20"/>
        </w:rPr>
        <w:t>Prophylaxis</w:t>
      </w:r>
    </w:p>
    <w:p w14:paraId="0D9DC232" w14:textId="77777777" w:rsidR="00EE770C" w:rsidRPr="00176C78" w:rsidRDefault="00841FAA" w:rsidP="00393548">
      <w:pPr>
        <w:pStyle w:val="NormalWeb"/>
        <w:numPr>
          <w:ilvl w:val="0"/>
          <w:numId w:val="4"/>
        </w:numPr>
        <w:shd w:val="clear" w:color="auto" w:fill="FFFFFF"/>
        <w:spacing w:before="0" w:after="160"/>
        <w:jc w:val="both"/>
        <w:rPr>
          <w:rFonts w:ascii="Avenir Book" w:eastAsia="Avenir Book" w:hAnsi="Avenir Book" w:cs="Calibri"/>
          <w:sz w:val="20"/>
          <w:szCs w:val="20"/>
        </w:rPr>
      </w:pPr>
      <w:r w:rsidRPr="00176C78">
        <w:rPr>
          <w:rFonts w:ascii="Avenir Book" w:hAnsi="Avenir Book" w:cs="Calibri"/>
          <w:sz w:val="20"/>
          <w:szCs w:val="20"/>
        </w:rPr>
        <w:t xml:space="preserve">Ongoing prophylactic treatment should be considered for patients whose HAE is not sufficiently controlled to maintain suitable quality of life with on demand therapy. </w:t>
      </w:r>
    </w:p>
    <w:p w14:paraId="562397E8" w14:textId="6D92689C" w:rsidR="00EE770C" w:rsidRPr="00176C78" w:rsidRDefault="00841FAA" w:rsidP="00393548">
      <w:pPr>
        <w:pStyle w:val="NormalWeb"/>
        <w:numPr>
          <w:ilvl w:val="0"/>
          <w:numId w:val="4"/>
        </w:numPr>
        <w:shd w:val="clear" w:color="auto" w:fill="FFFFFF"/>
        <w:spacing w:before="0" w:after="160"/>
        <w:jc w:val="both"/>
        <w:rPr>
          <w:rFonts w:ascii="Avenir Book" w:eastAsia="Avenir Book" w:hAnsi="Avenir Book" w:cs="Calibri"/>
          <w:sz w:val="20"/>
          <w:szCs w:val="20"/>
        </w:rPr>
      </w:pPr>
      <w:r w:rsidRPr="00176C78">
        <w:rPr>
          <w:rFonts w:ascii="Avenir Book" w:hAnsi="Avenir Book" w:cs="Calibri"/>
          <w:sz w:val="20"/>
          <w:szCs w:val="20"/>
        </w:rPr>
        <w:t>It is important to prevent HAE attacks when a patient is most susceptible due to trauma from surgery or dental procedures.</w:t>
      </w:r>
    </w:p>
    <w:p w14:paraId="2E878569" w14:textId="77777777" w:rsidR="00EE770C" w:rsidRPr="00176C78" w:rsidRDefault="00EE770C" w:rsidP="00393548">
      <w:pPr>
        <w:pStyle w:val="NormalWeb"/>
        <w:shd w:val="clear" w:color="auto" w:fill="FFFFFF"/>
        <w:spacing w:before="0" w:after="0"/>
        <w:jc w:val="both"/>
        <w:rPr>
          <w:rFonts w:ascii="Avenir Book" w:eastAsia="Avenir Book" w:hAnsi="Avenir Book" w:cs="Calibri"/>
          <w:sz w:val="20"/>
          <w:szCs w:val="20"/>
        </w:rPr>
      </w:pPr>
    </w:p>
    <w:p w14:paraId="2015D6BA" w14:textId="77777777" w:rsidR="00EE770C" w:rsidRPr="00176C78" w:rsidRDefault="00841FAA" w:rsidP="00393548">
      <w:pPr>
        <w:pStyle w:val="NormalWeb"/>
        <w:shd w:val="clear" w:color="auto" w:fill="FFFFFF"/>
        <w:spacing w:before="0" w:after="0"/>
        <w:jc w:val="both"/>
        <w:rPr>
          <w:rFonts w:ascii="Avenir Book" w:eastAsia="Avenir Book" w:hAnsi="Avenir Book" w:cs="Calibri"/>
          <w:sz w:val="28"/>
          <w:szCs w:val="28"/>
        </w:rPr>
      </w:pPr>
      <w:r w:rsidRPr="00176C78">
        <w:rPr>
          <w:rFonts w:ascii="Avenir Book" w:hAnsi="Avenir Book" w:cs="Calibri"/>
        </w:rPr>
        <w:t>Health Canada Approved Therapies for HAE treatments:</w:t>
      </w:r>
    </w:p>
    <w:p w14:paraId="00DB5F49" w14:textId="77777777" w:rsidR="00EE770C" w:rsidRPr="00176C78" w:rsidRDefault="00EE770C" w:rsidP="00393548">
      <w:pPr>
        <w:pStyle w:val="NormalWeb"/>
        <w:shd w:val="clear" w:color="auto" w:fill="FFFFFF"/>
        <w:spacing w:before="0" w:after="0"/>
        <w:jc w:val="both"/>
        <w:rPr>
          <w:rFonts w:ascii="Avenir Book" w:eastAsia="Avenir Book" w:hAnsi="Avenir Book" w:cs="Calibri"/>
          <w:sz w:val="20"/>
          <w:szCs w:val="20"/>
        </w:rPr>
      </w:pPr>
    </w:p>
    <w:p w14:paraId="7AE33275" w14:textId="77777777" w:rsidR="00EE770C" w:rsidRPr="00176C78" w:rsidRDefault="00841FAA" w:rsidP="00393548">
      <w:pPr>
        <w:pStyle w:val="NormalWeb"/>
        <w:shd w:val="clear" w:color="auto" w:fill="FFFFFF"/>
        <w:spacing w:before="0" w:after="0"/>
        <w:jc w:val="both"/>
        <w:rPr>
          <w:rFonts w:ascii="Avenir Book" w:eastAsia="Avenir Book" w:hAnsi="Avenir Book" w:cs="Calibri"/>
          <w:sz w:val="20"/>
          <w:szCs w:val="20"/>
        </w:rPr>
      </w:pPr>
      <w:r w:rsidRPr="00176C78">
        <w:rPr>
          <w:rFonts w:ascii="Avenir Book" w:hAnsi="Avenir Book" w:cs="Calibri"/>
          <w:sz w:val="20"/>
          <w:szCs w:val="20"/>
        </w:rPr>
        <w:t>Prophylaxis Treatments for HAE</w:t>
      </w:r>
    </w:p>
    <w:p w14:paraId="7913A285" w14:textId="3DBB4C4C" w:rsidR="00EE770C" w:rsidRPr="00176C78" w:rsidRDefault="00841FAA" w:rsidP="00393548">
      <w:pPr>
        <w:pStyle w:val="NormalWeb"/>
        <w:numPr>
          <w:ilvl w:val="0"/>
          <w:numId w:val="6"/>
        </w:numPr>
        <w:shd w:val="clear" w:color="auto" w:fill="FFFFFF"/>
        <w:spacing w:before="0" w:after="160"/>
        <w:jc w:val="both"/>
        <w:rPr>
          <w:rFonts w:ascii="Avenir Book" w:eastAsia="Avenir Book" w:hAnsi="Avenir Book" w:cs="Calibri"/>
          <w:sz w:val="20"/>
          <w:szCs w:val="20"/>
        </w:rPr>
      </w:pPr>
      <w:r w:rsidRPr="00176C78">
        <w:rPr>
          <w:rFonts w:ascii="Avenir Book" w:hAnsi="Avenir Book" w:cs="Calibri"/>
          <w:sz w:val="20"/>
          <w:szCs w:val="20"/>
        </w:rPr>
        <w:t>Cinryze is a C1-Inhibitor concentrate for preventing HAE attacks in teenagers and adults. Cinryze is delivered intravenously and is approved for home infusion.</w:t>
      </w:r>
    </w:p>
    <w:p w14:paraId="014EC2FA" w14:textId="5928701E" w:rsidR="00EE770C" w:rsidRPr="00176C78" w:rsidRDefault="00841FAA" w:rsidP="00393548">
      <w:pPr>
        <w:pStyle w:val="BodyText"/>
        <w:numPr>
          <w:ilvl w:val="0"/>
          <w:numId w:val="7"/>
        </w:numPr>
        <w:spacing w:before="0" w:after="160"/>
        <w:ind w:right="442"/>
        <w:jc w:val="both"/>
        <w:rPr>
          <w:rFonts w:ascii="Avenir Book" w:eastAsia="Avenir Book" w:hAnsi="Avenir Book" w:cs="Calibri"/>
          <w:sz w:val="20"/>
          <w:szCs w:val="20"/>
        </w:rPr>
      </w:pPr>
      <w:r w:rsidRPr="00176C78">
        <w:rPr>
          <w:rFonts w:ascii="Avenir Book" w:hAnsi="Avenir Book" w:cs="Calibri"/>
          <w:sz w:val="20"/>
          <w:szCs w:val="20"/>
        </w:rPr>
        <w:t xml:space="preserve">HAEGARDA is a plasma-derived C1-Esterase inhibitor concentrate for preventing HAE attacks in adolescents and adults. </w:t>
      </w:r>
      <w:r w:rsidR="00D12D1F">
        <w:rPr>
          <w:rFonts w:ascii="Avenir Book" w:hAnsi="Avenir Book" w:cs="Calibri"/>
          <w:sz w:val="20"/>
          <w:szCs w:val="20"/>
        </w:rPr>
        <w:t>HAEGARDA</w:t>
      </w:r>
      <w:r w:rsidRPr="00176C78">
        <w:rPr>
          <w:rFonts w:ascii="Avenir Book" w:hAnsi="Avenir Book" w:cs="Calibri"/>
          <w:sz w:val="20"/>
          <w:szCs w:val="20"/>
        </w:rPr>
        <w:t xml:space="preserve"> is delivered by subcutaneous injection and is approved for self</w:t>
      </w:r>
      <w:r w:rsidRPr="00176C78">
        <w:rPr>
          <w:rFonts w:ascii="Avenir Book" w:hAnsi="Avenir Book" w:cs="Calibri"/>
          <w:spacing w:val="46"/>
          <w:sz w:val="20"/>
          <w:szCs w:val="20"/>
        </w:rPr>
        <w:t>-</w:t>
      </w:r>
      <w:r w:rsidRPr="00176C78">
        <w:rPr>
          <w:rFonts w:ascii="Avenir Book" w:hAnsi="Avenir Book" w:cs="Calibri"/>
          <w:sz w:val="20"/>
          <w:szCs w:val="20"/>
        </w:rPr>
        <w:t>administration.</w:t>
      </w:r>
    </w:p>
    <w:p w14:paraId="01101D38" w14:textId="1837F767" w:rsidR="008D4BF8" w:rsidRPr="00176C78" w:rsidRDefault="008D4BF8" w:rsidP="00393548">
      <w:pPr>
        <w:pStyle w:val="BodyText"/>
        <w:numPr>
          <w:ilvl w:val="0"/>
          <w:numId w:val="7"/>
        </w:numPr>
        <w:spacing w:before="0" w:after="160"/>
        <w:ind w:right="442"/>
        <w:jc w:val="both"/>
        <w:rPr>
          <w:rFonts w:ascii="Avenir Book" w:eastAsia="Avenir Book" w:hAnsi="Avenir Book" w:cs="Calibri"/>
          <w:sz w:val="20"/>
          <w:szCs w:val="20"/>
        </w:rPr>
      </w:pPr>
      <w:r w:rsidRPr="00176C78">
        <w:rPr>
          <w:rFonts w:ascii="Avenir Book" w:eastAsia="Avenir Book" w:hAnsi="Avenir Book" w:cs="Calibri"/>
          <w:sz w:val="20"/>
          <w:szCs w:val="20"/>
        </w:rPr>
        <w:t>ORLADEYO is a plasma kallikrein inhibitor indicated for routine prevention of HAE attacks in adults and pediatric patients 12 years and older. ORLADEYO is taken orally once daily.</w:t>
      </w:r>
    </w:p>
    <w:p w14:paraId="459AB1A2" w14:textId="0992BBD5" w:rsidR="00EE770C" w:rsidRPr="00176C78" w:rsidRDefault="00841FAA" w:rsidP="00393548">
      <w:pPr>
        <w:pStyle w:val="BodyText"/>
        <w:numPr>
          <w:ilvl w:val="0"/>
          <w:numId w:val="8"/>
        </w:numPr>
        <w:spacing w:before="0" w:after="160"/>
        <w:ind w:right="35"/>
        <w:jc w:val="both"/>
        <w:rPr>
          <w:rFonts w:ascii="Avenir Book" w:eastAsia="Avenir Book" w:hAnsi="Avenir Book" w:cs="Calibri"/>
          <w:sz w:val="20"/>
          <w:szCs w:val="20"/>
        </w:rPr>
      </w:pPr>
      <w:r w:rsidRPr="00176C78">
        <w:rPr>
          <w:rFonts w:ascii="Avenir Book" w:hAnsi="Avenir Book" w:cs="Calibri"/>
          <w:sz w:val="20"/>
          <w:szCs w:val="20"/>
        </w:rPr>
        <w:t xml:space="preserve">TAKHZYRO - is a monoclonal antibody for preventing HAE attacks in people 12 years of age and </w:t>
      </w:r>
      <w:r w:rsidRPr="00176C78">
        <w:rPr>
          <w:rFonts w:ascii="Avenir Book" w:hAnsi="Avenir Book" w:cs="Calibri"/>
          <w:spacing w:val="-5"/>
          <w:sz w:val="20"/>
          <w:szCs w:val="20"/>
        </w:rPr>
        <w:t xml:space="preserve">older. </w:t>
      </w:r>
      <w:r w:rsidR="00D12D1F">
        <w:rPr>
          <w:rFonts w:ascii="Avenir Book" w:hAnsi="Avenir Book" w:cs="Calibri"/>
          <w:spacing w:val="-5"/>
          <w:sz w:val="20"/>
          <w:szCs w:val="20"/>
        </w:rPr>
        <w:t>TAKHZYRO</w:t>
      </w:r>
      <w:r w:rsidR="007E7905" w:rsidRPr="00176C78">
        <w:rPr>
          <w:rFonts w:ascii="Avenir Book" w:hAnsi="Avenir Book" w:cs="Calibri"/>
          <w:sz w:val="20"/>
          <w:szCs w:val="20"/>
        </w:rPr>
        <w:t xml:space="preserve"> </w:t>
      </w:r>
      <w:r w:rsidRPr="00176C78">
        <w:rPr>
          <w:rFonts w:ascii="Avenir Book" w:hAnsi="Avenir Book" w:cs="Calibri"/>
          <w:sz w:val="20"/>
          <w:szCs w:val="20"/>
        </w:rPr>
        <w:t>is administered by subcutaneous injection and</w:t>
      </w:r>
      <w:r w:rsidR="007E7905" w:rsidRPr="00176C78">
        <w:rPr>
          <w:rFonts w:ascii="Avenir Book" w:hAnsi="Avenir Book" w:cs="Calibri"/>
          <w:spacing w:val="54"/>
          <w:sz w:val="20"/>
          <w:szCs w:val="20"/>
        </w:rPr>
        <w:t xml:space="preserve"> </w:t>
      </w:r>
      <w:r w:rsidRPr="00176C78">
        <w:rPr>
          <w:rFonts w:ascii="Avenir Book" w:hAnsi="Avenir Book" w:cs="Calibri"/>
          <w:sz w:val="20"/>
          <w:szCs w:val="20"/>
        </w:rPr>
        <w:t>is approved for self-administration.</w:t>
      </w:r>
    </w:p>
    <w:p w14:paraId="5A9D7243" w14:textId="77777777" w:rsidR="00EE770C" w:rsidRPr="00176C78" w:rsidRDefault="00841FAA" w:rsidP="00393548">
      <w:pPr>
        <w:pStyle w:val="BodyText"/>
        <w:numPr>
          <w:ilvl w:val="0"/>
          <w:numId w:val="8"/>
        </w:numPr>
        <w:spacing w:before="0" w:after="160"/>
        <w:ind w:right="35"/>
        <w:jc w:val="both"/>
        <w:rPr>
          <w:rFonts w:ascii="Avenir Book" w:eastAsia="Avenir Book" w:hAnsi="Avenir Book" w:cs="Calibri"/>
          <w:sz w:val="20"/>
          <w:szCs w:val="20"/>
        </w:rPr>
      </w:pPr>
      <w:r w:rsidRPr="00176C78">
        <w:rPr>
          <w:rFonts w:ascii="Avenir Book" w:hAnsi="Avenir Book" w:cs="Calibri"/>
          <w:sz w:val="20"/>
          <w:szCs w:val="20"/>
        </w:rPr>
        <w:t>Tranexamic Acid (oral anti-fibrinolytic).</w:t>
      </w:r>
    </w:p>
    <w:p w14:paraId="6535548C" w14:textId="77777777" w:rsidR="00EE770C" w:rsidRPr="00176C78" w:rsidRDefault="00EE770C" w:rsidP="00393548">
      <w:pPr>
        <w:pStyle w:val="NormalWeb"/>
        <w:shd w:val="clear" w:color="auto" w:fill="FFFFFF"/>
        <w:spacing w:before="0" w:after="0"/>
        <w:jc w:val="both"/>
        <w:rPr>
          <w:rFonts w:ascii="Avenir Book" w:eastAsia="Avenir Book" w:hAnsi="Avenir Book" w:cs="Calibri"/>
          <w:sz w:val="20"/>
          <w:szCs w:val="20"/>
        </w:rPr>
      </w:pPr>
    </w:p>
    <w:p w14:paraId="49F96164" w14:textId="77777777" w:rsidR="00EE770C" w:rsidRPr="00176C78" w:rsidRDefault="00841FAA" w:rsidP="00393548">
      <w:pPr>
        <w:pStyle w:val="NormalWeb"/>
        <w:shd w:val="clear" w:color="auto" w:fill="FFFFFF"/>
        <w:spacing w:before="0" w:after="0"/>
        <w:jc w:val="both"/>
        <w:rPr>
          <w:rFonts w:ascii="Avenir Book" w:eastAsia="Avenir Book" w:hAnsi="Avenir Book" w:cs="Calibri"/>
          <w:sz w:val="20"/>
          <w:szCs w:val="20"/>
        </w:rPr>
      </w:pPr>
      <w:r w:rsidRPr="00176C78">
        <w:rPr>
          <w:rFonts w:ascii="Avenir Book" w:hAnsi="Avenir Book" w:cs="Calibri"/>
          <w:sz w:val="20"/>
          <w:szCs w:val="20"/>
        </w:rPr>
        <w:t xml:space="preserve">On-Demand Treatments for HAE  </w:t>
      </w:r>
    </w:p>
    <w:p w14:paraId="7F1A0DB2" w14:textId="1923370B" w:rsidR="00EE770C" w:rsidRPr="00176C78" w:rsidRDefault="00841FAA" w:rsidP="00393548">
      <w:pPr>
        <w:pStyle w:val="NormalWeb"/>
        <w:numPr>
          <w:ilvl w:val="0"/>
          <w:numId w:val="6"/>
        </w:numPr>
        <w:shd w:val="clear" w:color="auto" w:fill="FFFFFF"/>
        <w:spacing w:before="0" w:after="160"/>
        <w:jc w:val="both"/>
        <w:rPr>
          <w:rFonts w:ascii="Avenir Book" w:eastAsia="Avenir Book" w:hAnsi="Avenir Book" w:cs="Calibri"/>
          <w:sz w:val="20"/>
          <w:szCs w:val="20"/>
        </w:rPr>
      </w:pPr>
      <w:proofErr w:type="spellStart"/>
      <w:r w:rsidRPr="00176C78">
        <w:rPr>
          <w:rFonts w:ascii="Avenir Book" w:hAnsi="Avenir Book" w:cs="Calibri"/>
          <w:sz w:val="20"/>
          <w:szCs w:val="20"/>
        </w:rPr>
        <w:t>Berinert</w:t>
      </w:r>
      <w:proofErr w:type="spellEnd"/>
      <w:r w:rsidRPr="00176C78">
        <w:rPr>
          <w:rFonts w:ascii="Avenir Book" w:hAnsi="Avenir Book" w:cs="Calibri"/>
          <w:sz w:val="20"/>
          <w:szCs w:val="20"/>
        </w:rPr>
        <w:t xml:space="preserve"> is a C-Inhibitor concentrate for treating acute HAE attacks in adults and pediatric patients. </w:t>
      </w:r>
      <w:proofErr w:type="spellStart"/>
      <w:r w:rsidRPr="00176C78">
        <w:rPr>
          <w:rFonts w:ascii="Avenir Book" w:hAnsi="Avenir Book" w:cs="Calibri"/>
          <w:sz w:val="20"/>
          <w:szCs w:val="20"/>
        </w:rPr>
        <w:t>Berinert</w:t>
      </w:r>
      <w:proofErr w:type="spellEnd"/>
      <w:r w:rsidRPr="00176C78">
        <w:rPr>
          <w:rFonts w:ascii="Avenir Book" w:hAnsi="Avenir Book" w:cs="Calibri"/>
          <w:sz w:val="20"/>
          <w:szCs w:val="20"/>
        </w:rPr>
        <w:t xml:space="preserve"> is delivered intravenously and is approved for on-demand treatment through self-administration.</w:t>
      </w:r>
    </w:p>
    <w:p w14:paraId="258C53BC" w14:textId="560320AC" w:rsidR="00EE770C" w:rsidRPr="00176C78" w:rsidRDefault="00841FAA" w:rsidP="00393548">
      <w:pPr>
        <w:pStyle w:val="NormalWeb"/>
        <w:numPr>
          <w:ilvl w:val="0"/>
          <w:numId w:val="6"/>
        </w:numPr>
        <w:shd w:val="clear" w:color="auto" w:fill="FFFFFF"/>
        <w:spacing w:before="0" w:after="160"/>
        <w:jc w:val="both"/>
        <w:rPr>
          <w:rFonts w:ascii="Avenir Book" w:eastAsia="Avenir Book" w:hAnsi="Avenir Book" w:cs="Calibri"/>
          <w:sz w:val="20"/>
          <w:szCs w:val="20"/>
        </w:rPr>
      </w:pPr>
      <w:proofErr w:type="spellStart"/>
      <w:r w:rsidRPr="00176C78">
        <w:rPr>
          <w:rFonts w:ascii="Avenir Book" w:hAnsi="Avenir Book" w:cs="Calibri"/>
          <w:sz w:val="20"/>
          <w:szCs w:val="20"/>
        </w:rPr>
        <w:t>Firazyr</w:t>
      </w:r>
      <w:proofErr w:type="spellEnd"/>
      <w:r w:rsidRPr="00176C78">
        <w:rPr>
          <w:rFonts w:ascii="Avenir Book" w:hAnsi="Avenir Book" w:cs="Calibri"/>
          <w:sz w:val="20"/>
          <w:szCs w:val="20"/>
        </w:rPr>
        <w:t xml:space="preserve"> is a B2 bradykinin receptor antagonist for treating acute HAE attacks in patients 18 years and older. </w:t>
      </w:r>
      <w:proofErr w:type="spellStart"/>
      <w:r w:rsidRPr="00176C78">
        <w:rPr>
          <w:rFonts w:ascii="Avenir Book" w:hAnsi="Avenir Book" w:cs="Calibri"/>
          <w:sz w:val="20"/>
          <w:szCs w:val="20"/>
        </w:rPr>
        <w:t>Firazyr</w:t>
      </w:r>
      <w:proofErr w:type="spellEnd"/>
      <w:r w:rsidRPr="00176C78">
        <w:rPr>
          <w:rFonts w:ascii="Avenir Book" w:hAnsi="Avenir Book" w:cs="Calibri"/>
          <w:sz w:val="20"/>
          <w:szCs w:val="20"/>
        </w:rPr>
        <w:t xml:space="preserve"> is delivered by subcutaneous injection and is approved for self-administration. </w:t>
      </w:r>
    </w:p>
    <w:p w14:paraId="137526B2" w14:textId="5B5C1B66" w:rsidR="00EE770C" w:rsidRPr="00176C78" w:rsidRDefault="00841FAA" w:rsidP="00393548">
      <w:pPr>
        <w:pStyle w:val="Body"/>
        <w:widowControl w:val="0"/>
        <w:spacing w:after="240"/>
        <w:jc w:val="both"/>
        <w:rPr>
          <w:rFonts w:ascii="Avenir Book" w:hAnsi="Avenir Book"/>
          <w:sz w:val="20"/>
          <w:szCs w:val="20"/>
        </w:rPr>
      </w:pPr>
      <w:r w:rsidRPr="00176C78">
        <w:rPr>
          <w:rFonts w:ascii="Avenir Book" w:hAnsi="Avenir Book"/>
          <w:sz w:val="20"/>
          <w:szCs w:val="20"/>
        </w:rPr>
        <w:t xml:space="preserve">Effective treatment of HAE requires one of the following medications be administered to my patient as quickly as possible to </w:t>
      </w:r>
      <w:r w:rsidR="00DE7D6C" w:rsidRPr="00176C78">
        <w:rPr>
          <w:rFonts w:ascii="Avenir Book" w:hAnsi="Avenir Book"/>
          <w:sz w:val="20"/>
          <w:szCs w:val="20"/>
        </w:rPr>
        <w:t>treat</w:t>
      </w:r>
      <w:r w:rsidRPr="00176C78">
        <w:rPr>
          <w:rFonts w:ascii="Avenir Book" w:hAnsi="Avenir Book"/>
          <w:sz w:val="20"/>
          <w:szCs w:val="20"/>
        </w:rPr>
        <w:t xml:space="preserve"> the swelling attack: </w:t>
      </w:r>
    </w:p>
    <w:p w14:paraId="2C71B845" w14:textId="3D1B4385" w:rsidR="00EE770C" w:rsidRDefault="00841FAA" w:rsidP="00393548">
      <w:pPr>
        <w:pStyle w:val="Body"/>
        <w:widowControl w:val="0"/>
        <w:jc w:val="both"/>
        <w:rPr>
          <w:rFonts w:ascii="Avenir Book" w:eastAsia="MS Mincho" w:hAnsi="Avenir Book"/>
          <w:b/>
          <w:bCs/>
          <w:sz w:val="20"/>
          <w:szCs w:val="20"/>
        </w:rPr>
      </w:pPr>
      <w:r w:rsidRPr="00176C78">
        <w:rPr>
          <w:rFonts w:ascii="Avenir Book" w:hAnsi="Avenir Book"/>
          <w:b/>
          <w:bCs/>
          <w:sz w:val="20"/>
          <w:szCs w:val="20"/>
          <w:lang w:val="pt-PT"/>
        </w:rPr>
        <w:t>[PHYSICIAN TO FILL IN INDIVIDUALIZED TREATMENT PLAN]</w:t>
      </w:r>
    </w:p>
    <w:p w14:paraId="59FA1065" w14:textId="77777777" w:rsidR="00176C78" w:rsidRPr="00176C78" w:rsidRDefault="00176C78" w:rsidP="00393548">
      <w:pPr>
        <w:pStyle w:val="Body"/>
        <w:widowControl w:val="0"/>
        <w:jc w:val="both"/>
        <w:rPr>
          <w:rFonts w:ascii="Avenir Book" w:eastAsia="MS Mincho" w:hAnsi="Avenir Book"/>
          <w:b/>
          <w:bCs/>
          <w:sz w:val="20"/>
          <w:szCs w:val="20"/>
        </w:rPr>
      </w:pPr>
    </w:p>
    <w:p w14:paraId="355B2C06" w14:textId="05B4C098" w:rsidR="00176C78" w:rsidRDefault="00176C78" w:rsidP="00393548">
      <w:pPr>
        <w:pStyle w:val="Body"/>
        <w:widowControl w:val="0"/>
        <w:spacing w:after="240"/>
        <w:jc w:val="both"/>
        <w:rPr>
          <w:rFonts w:ascii="Avenir Book" w:eastAsia="Avenir Book" w:hAnsi="Avenir Book"/>
          <w:sz w:val="20"/>
          <w:szCs w:val="20"/>
        </w:rPr>
      </w:pPr>
    </w:p>
    <w:p w14:paraId="024D359A" w14:textId="0109378B" w:rsidR="00176C78" w:rsidRDefault="00176C78" w:rsidP="00393548">
      <w:pPr>
        <w:pStyle w:val="Body"/>
        <w:widowControl w:val="0"/>
        <w:spacing w:after="240"/>
        <w:jc w:val="both"/>
        <w:rPr>
          <w:rFonts w:ascii="Avenir Book" w:eastAsia="Avenir Book" w:hAnsi="Avenir Book"/>
          <w:sz w:val="20"/>
          <w:szCs w:val="20"/>
        </w:rPr>
      </w:pPr>
    </w:p>
    <w:p w14:paraId="59A48179" w14:textId="1707DEB8" w:rsidR="00FC35CB" w:rsidRDefault="00FC35CB" w:rsidP="00393548">
      <w:pPr>
        <w:pStyle w:val="Body"/>
        <w:widowControl w:val="0"/>
        <w:spacing w:after="240"/>
        <w:jc w:val="both"/>
        <w:rPr>
          <w:rFonts w:ascii="Avenir Book" w:eastAsia="Avenir Book" w:hAnsi="Avenir Book"/>
          <w:sz w:val="20"/>
          <w:szCs w:val="20"/>
        </w:rPr>
      </w:pPr>
    </w:p>
    <w:p w14:paraId="23F7FD08" w14:textId="77777777" w:rsidR="00FC35CB" w:rsidRDefault="00FC35CB" w:rsidP="00393548">
      <w:pPr>
        <w:pStyle w:val="Body"/>
        <w:widowControl w:val="0"/>
        <w:spacing w:after="240"/>
        <w:jc w:val="both"/>
        <w:rPr>
          <w:rFonts w:ascii="Avenir Book" w:eastAsia="Avenir Book" w:hAnsi="Avenir Book"/>
          <w:sz w:val="20"/>
          <w:szCs w:val="20"/>
        </w:rPr>
      </w:pPr>
    </w:p>
    <w:p w14:paraId="22E6EC12" w14:textId="0FFB3A4B" w:rsidR="00176C78" w:rsidRDefault="00176C78" w:rsidP="00393548">
      <w:pPr>
        <w:pStyle w:val="Body"/>
        <w:widowControl w:val="0"/>
        <w:spacing w:after="240"/>
        <w:jc w:val="both"/>
        <w:rPr>
          <w:rFonts w:ascii="Avenir Book" w:eastAsia="Avenir Book" w:hAnsi="Avenir Book"/>
          <w:sz w:val="20"/>
          <w:szCs w:val="20"/>
        </w:rPr>
      </w:pPr>
    </w:p>
    <w:p w14:paraId="33F81B39" w14:textId="77777777" w:rsidR="00176C78" w:rsidRPr="00FC35CB" w:rsidRDefault="00176C78" w:rsidP="00393548">
      <w:pPr>
        <w:pStyle w:val="Body"/>
        <w:widowControl w:val="0"/>
        <w:spacing w:after="240"/>
        <w:jc w:val="both"/>
        <w:rPr>
          <w:rFonts w:ascii="Avenir Book" w:eastAsia="Avenir Book" w:hAnsi="Avenir Book"/>
          <w:sz w:val="20"/>
          <w:szCs w:val="20"/>
        </w:rPr>
      </w:pPr>
    </w:p>
    <w:p w14:paraId="21B7071C" w14:textId="77777777" w:rsidR="00EE770C" w:rsidRPr="00FC35CB" w:rsidRDefault="00841FAA" w:rsidP="00393548">
      <w:pPr>
        <w:pStyle w:val="Body"/>
        <w:widowControl w:val="0"/>
        <w:spacing w:after="240"/>
        <w:jc w:val="both"/>
        <w:rPr>
          <w:rFonts w:ascii="Avenir Book" w:hAnsi="Avenir Book"/>
          <w:sz w:val="20"/>
          <w:szCs w:val="20"/>
        </w:rPr>
      </w:pPr>
      <w:r w:rsidRPr="00FC35CB">
        <w:rPr>
          <w:rFonts w:ascii="Avenir Book" w:hAnsi="Avenir Book"/>
          <w:sz w:val="20"/>
          <w:szCs w:val="20"/>
        </w:rPr>
        <w:t xml:space="preserve">It is medically necessary that the patient carry the listed HAE medications and related treatment supplies while traveling. </w:t>
      </w:r>
    </w:p>
    <w:p w14:paraId="05988110" w14:textId="77777777" w:rsidR="00EE770C" w:rsidRPr="00FC35CB" w:rsidRDefault="00841FAA" w:rsidP="00393548">
      <w:pPr>
        <w:pStyle w:val="Body"/>
        <w:widowControl w:val="0"/>
        <w:spacing w:after="240"/>
        <w:jc w:val="both"/>
        <w:rPr>
          <w:rFonts w:ascii="Avenir Book" w:hAnsi="Avenir Book"/>
          <w:sz w:val="20"/>
          <w:szCs w:val="20"/>
        </w:rPr>
      </w:pPr>
      <w:r w:rsidRPr="00FC35CB">
        <w:rPr>
          <w:rFonts w:ascii="Avenir Book" w:hAnsi="Avenir Book"/>
          <w:sz w:val="20"/>
          <w:szCs w:val="20"/>
        </w:rPr>
        <w:t xml:space="preserve">A second dose of prescribed HAE medications may be necessary in the event of a partial response or recurring angioedema symptoms. </w:t>
      </w:r>
    </w:p>
    <w:p w14:paraId="469BE5A7" w14:textId="77777777" w:rsidR="00EE770C" w:rsidRPr="00FC35CB" w:rsidRDefault="00841FAA" w:rsidP="00393548">
      <w:pPr>
        <w:pStyle w:val="Body"/>
        <w:widowControl w:val="0"/>
        <w:spacing w:after="240"/>
        <w:jc w:val="both"/>
        <w:rPr>
          <w:rFonts w:ascii="Avenir Book" w:hAnsi="Avenir Book"/>
          <w:sz w:val="20"/>
          <w:szCs w:val="20"/>
        </w:rPr>
      </w:pPr>
      <w:r w:rsidRPr="00FC35CB">
        <w:rPr>
          <w:rFonts w:ascii="Avenir Book" w:hAnsi="Avenir Book"/>
          <w:sz w:val="20"/>
          <w:szCs w:val="20"/>
        </w:rPr>
        <w:t xml:space="preserve">In addition to this treatment, management of acute HAE attacks may include supportive care with airway monitoring, analgesic and antiemetic medication and intravenous fluids as appropriate. </w:t>
      </w:r>
    </w:p>
    <w:p w14:paraId="65C62343" w14:textId="77777777" w:rsidR="00EE770C" w:rsidRPr="00FC35CB" w:rsidRDefault="00841FAA" w:rsidP="00393548">
      <w:pPr>
        <w:pStyle w:val="NormalWeb"/>
        <w:shd w:val="clear" w:color="auto" w:fill="FFFFFF"/>
        <w:spacing w:before="0" w:after="300"/>
        <w:jc w:val="both"/>
        <w:rPr>
          <w:rFonts w:ascii="Avenir Book" w:eastAsia="Avenir Book" w:hAnsi="Avenir Book" w:cs="Calibri"/>
          <w:sz w:val="20"/>
          <w:szCs w:val="20"/>
        </w:rPr>
      </w:pPr>
      <w:r w:rsidRPr="00FC35CB">
        <w:rPr>
          <w:rFonts w:ascii="Avenir Book" w:hAnsi="Avenir Book" w:cs="Calibri"/>
          <w:sz w:val="20"/>
          <w:szCs w:val="20"/>
        </w:rPr>
        <w:t xml:space="preserve">*HAE swelling does NOT respond to drugs used to treat swelling caused by allergic reactions: antihistamines, epinephrine, and corticosteroids. </w:t>
      </w:r>
    </w:p>
    <w:p w14:paraId="7D43BB3F" w14:textId="77777777" w:rsidR="00EE770C" w:rsidRPr="00FC35CB" w:rsidRDefault="00841FAA" w:rsidP="00393548">
      <w:pPr>
        <w:pStyle w:val="Body"/>
        <w:widowControl w:val="0"/>
        <w:spacing w:after="240"/>
        <w:jc w:val="both"/>
        <w:rPr>
          <w:rFonts w:ascii="Avenir Book" w:hAnsi="Avenir Book"/>
          <w:sz w:val="20"/>
          <w:szCs w:val="20"/>
        </w:rPr>
      </w:pPr>
      <w:r w:rsidRPr="00FC35CB">
        <w:rPr>
          <w:rFonts w:ascii="Avenir Book" w:hAnsi="Avenir Book"/>
          <w:sz w:val="20"/>
          <w:szCs w:val="20"/>
        </w:rPr>
        <w:t xml:space="preserve">*Airway compromise requires immediate dosing of the effective medications listed above and careful monitoring. </w:t>
      </w:r>
    </w:p>
    <w:p w14:paraId="2A734E08" w14:textId="77777777" w:rsidR="00EE770C" w:rsidRPr="00FC35CB" w:rsidRDefault="00841FAA" w:rsidP="00393548">
      <w:pPr>
        <w:jc w:val="both"/>
        <w:rPr>
          <w:rFonts w:ascii="Avenir Book" w:hAnsi="Avenir Book"/>
          <w:b/>
          <w:bCs/>
          <w:sz w:val="20"/>
          <w:szCs w:val="20"/>
        </w:rPr>
      </w:pPr>
      <w:r w:rsidRPr="00FC35CB">
        <w:rPr>
          <w:rFonts w:ascii="Avenir Book" w:hAnsi="Avenir Book"/>
          <w:sz w:val="20"/>
          <w:szCs w:val="20"/>
        </w:rPr>
        <w:t xml:space="preserve">I may be reached with any questions regarding HAE at </w:t>
      </w:r>
      <w:r w:rsidRPr="00FC35CB">
        <w:rPr>
          <w:rFonts w:ascii="Avenir Book" w:hAnsi="Avenir Book"/>
          <w:b/>
          <w:bCs/>
          <w:sz w:val="20"/>
          <w:szCs w:val="20"/>
        </w:rPr>
        <w:t>[INSERT PHYSICIAN CONTACT INFO].</w:t>
      </w:r>
    </w:p>
    <w:p w14:paraId="24856359" w14:textId="6CDE2BD6" w:rsidR="00EE770C" w:rsidRPr="00FC35CB" w:rsidRDefault="00841FAA" w:rsidP="00393548">
      <w:pPr>
        <w:jc w:val="both"/>
        <w:rPr>
          <w:rFonts w:ascii="Avenir Book" w:hAnsi="Avenir Book"/>
          <w:sz w:val="20"/>
          <w:szCs w:val="20"/>
        </w:rPr>
      </w:pPr>
      <w:r w:rsidRPr="00FC35CB">
        <w:rPr>
          <w:rFonts w:ascii="Avenir Book" w:hAnsi="Avenir Book"/>
          <w:sz w:val="20"/>
          <w:szCs w:val="20"/>
        </w:rPr>
        <w:t>Sincerely,</w:t>
      </w:r>
    </w:p>
    <w:p w14:paraId="2244A675" w14:textId="38996E3E" w:rsidR="007E7905" w:rsidRDefault="007E7905" w:rsidP="00393548">
      <w:pPr>
        <w:jc w:val="both"/>
        <w:rPr>
          <w:rFonts w:ascii="Avenir Book" w:hAnsi="Avenir Book"/>
          <w:sz w:val="20"/>
          <w:szCs w:val="20"/>
        </w:rPr>
      </w:pPr>
    </w:p>
    <w:p w14:paraId="71270574" w14:textId="77777777" w:rsidR="00FC35CB" w:rsidRPr="00FC35CB" w:rsidRDefault="00FC35CB" w:rsidP="00393548">
      <w:pPr>
        <w:jc w:val="both"/>
        <w:rPr>
          <w:rFonts w:ascii="Avenir Book" w:hAnsi="Avenir Book"/>
          <w:sz w:val="20"/>
          <w:szCs w:val="20"/>
        </w:rPr>
      </w:pPr>
    </w:p>
    <w:p w14:paraId="2C410A07" w14:textId="7C9839F3" w:rsidR="00EE770C" w:rsidRPr="00FC35CB" w:rsidRDefault="00841FAA" w:rsidP="00393548">
      <w:pPr>
        <w:jc w:val="both"/>
        <w:rPr>
          <w:rFonts w:ascii="Avenir Book" w:hAnsi="Avenir Book"/>
          <w:sz w:val="20"/>
          <w:szCs w:val="20"/>
        </w:rPr>
      </w:pPr>
      <w:r w:rsidRPr="00FC35CB">
        <w:rPr>
          <w:rFonts w:ascii="Avenir Book" w:hAnsi="Avenir Book"/>
          <w:sz w:val="20"/>
          <w:szCs w:val="20"/>
        </w:rPr>
        <w:t>[</w:t>
      </w:r>
      <w:r w:rsidR="00176C78" w:rsidRPr="00FC35CB">
        <w:rPr>
          <w:rFonts w:ascii="Avenir Book" w:hAnsi="Avenir Book"/>
          <w:sz w:val="20"/>
          <w:szCs w:val="20"/>
        </w:rPr>
        <w:t>Physician’s signature</w:t>
      </w:r>
      <w:r w:rsidRPr="00FC35CB">
        <w:rPr>
          <w:rFonts w:ascii="Avenir Book" w:hAnsi="Avenir Book"/>
          <w:sz w:val="20"/>
          <w:szCs w:val="20"/>
        </w:rPr>
        <w:t xml:space="preserve">] </w:t>
      </w:r>
    </w:p>
    <w:p w14:paraId="562A66F7" w14:textId="77777777" w:rsidR="00EE770C" w:rsidRPr="00FC35CB" w:rsidRDefault="00841FAA" w:rsidP="00393548">
      <w:pPr>
        <w:jc w:val="both"/>
        <w:rPr>
          <w:rFonts w:ascii="Avenir Book" w:hAnsi="Avenir Book"/>
          <w:sz w:val="20"/>
          <w:szCs w:val="20"/>
        </w:rPr>
      </w:pPr>
      <w:r w:rsidRPr="00FC35CB">
        <w:rPr>
          <w:rFonts w:ascii="Avenir Book" w:hAnsi="Avenir Book"/>
          <w:sz w:val="20"/>
          <w:szCs w:val="20"/>
        </w:rPr>
        <w:t xml:space="preserve">Physician name and title </w:t>
      </w:r>
    </w:p>
    <w:sectPr w:rsidR="00EE770C" w:rsidRPr="00FC35CB" w:rsidSect="008D4BF8">
      <w:headerReference w:type="default" r:id="rId8"/>
      <w:footerReference w:type="default" r:id="rId9"/>
      <w:pgSz w:w="12240" w:h="15840"/>
      <w:pgMar w:top="1440" w:right="1440" w:bottom="4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F678B" w14:textId="77777777" w:rsidR="00B34184" w:rsidRDefault="00B34184">
      <w:r>
        <w:separator/>
      </w:r>
    </w:p>
  </w:endnote>
  <w:endnote w:type="continuationSeparator" w:id="0">
    <w:p w14:paraId="2EBC790C" w14:textId="77777777" w:rsidR="00B34184" w:rsidRDefault="00B34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 Black">
    <w:panose1 w:val="020B0803020203020204"/>
    <w:charset w:val="4D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E1D74" w14:textId="77777777" w:rsidR="00EE770C" w:rsidRDefault="00EE770C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B0CF2" w14:textId="77777777" w:rsidR="00B34184" w:rsidRDefault="00B34184">
      <w:r>
        <w:separator/>
      </w:r>
    </w:p>
  </w:footnote>
  <w:footnote w:type="continuationSeparator" w:id="0">
    <w:p w14:paraId="02E95996" w14:textId="77777777" w:rsidR="00B34184" w:rsidRDefault="00B341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9A589" w14:textId="77777777" w:rsidR="00EE770C" w:rsidRDefault="00EE770C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76DB2"/>
    <w:multiLevelType w:val="hybridMultilevel"/>
    <w:tmpl w:val="0F9E898C"/>
    <w:numStyleLink w:val="ImportedStyle2"/>
  </w:abstractNum>
  <w:abstractNum w:abstractNumId="1" w15:restartNumberingAfterBreak="0">
    <w:nsid w:val="0ABF6DAE"/>
    <w:multiLevelType w:val="hybridMultilevel"/>
    <w:tmpl w:val="0F9E898C"/>
    <w:styleLink w:val="ImportedStyle2"/>
    <w:lvl w:ilvl="0" w:tplc="555AD234">
      <w:start w:val="1"/>
      <w:numFmt w:val="bullet"/>
      <w:lvlText w:val="o"/>
      <w:lvlJc w:val="left"/>
      <w:pPr>
        <w:ind w:left="1134" w:hanging="28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C6380C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46C674">
      <w:start w:val="1"/>
      <w:numFmt w:val="bullet"/>
      <w:lvlText w:val="▪"/>
      <w:lvlJc w:val="left"/>
      <w:pPr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6682F2">
      <w:start w:val="1"/>
      <w:numFmt w:val="bullet"/>
      <w:lvlText w:val="•"/>
      <w:lvlJc w:val="left"/>
      <w:pPr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887810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92EE46">
      <w:start w:val="1"/>
      <w:numFmt w:val="bullet"/>
      <w:lvlText w:val="▪"/>
      <w:lvlJc w:val="left"/>
      <w:pPr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D2ECB6">
      <w:start w:val="1"/>
      <w:numFmt w:val="bullet"/>
      <w:lvlText w:val="•"/>
      <w:lvlJc w:val="left"/>
      <w:pPr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40DC9C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C42FEA">
      <w:start w:val="1"/>
      <w:numFmt w:val="bullet"/>
      <w:lvlText w:val="▪"/>
      <w:lvlJc w:val="left"/>
      <w:pPr>
        <w:ind w:left="68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E293290"/>
    <w:multiLevelType w:val="hybridMultilevel"/>
    <w:tmpl w:val="F0E895FA"/>
    <w:numStyleLink w:val="Bullets"/>
  </w:abstractNum>
  <w:abstractNum w:abstractNumId="3" w15:restartNumberingAfterBreak="0">
    <w:nsid w:val="28A61161"/>
    <w:multiLevelType w:val="hybridMultilevel"/>
    <w:tmpl w:val="F0E895FA"/>
    <w:styleLink w:val="Bullets"/>
    <w:lvl w:ilvl="0" w:tplc="3684C0B8">
      <w:start w:val="1"/>
      <w:numFmt w:val="bullet"/>
      <w:lvlText w:val="•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8087DA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8B22E1E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F20582C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C44D460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C27046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40F658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6F41FFE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1524DA2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B7E2826"/>
    <w:multiLevelType w:val="hybridMultilevel"/>
    <w:tmpl w:val="BF688FCE"/>
    <w:numStyleLink w:val="Numbered"/>
  </w:abstractNum>
  <w:abstractNum w:abstractNumId="5" w15:restartNumberingAfterBreak="0">
    <w:nsid w:val="611F22C0"/>
    <w:multiLevelType w:val="hybridMultilevel"/>
    <w:tmpl w:val="BF688FCE"/>
    <w:styleLink w:val="Numbered"/>
    <w:lvl w:ilvl="0" w:tplc="4798ED5E">
      <w:start w:val="1"/>
      <w:numFmt w:val="decimal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8CC8E2">
      <w:start w:val="1"/>
      <w:numFmt w:val="decimal"/>
      <w:lvlText w:val="%2."/>
      <w:lvlJc w:val="left"/>
      <w:pPr>
        <w:ind w:left="1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BABCB4">
      <w:start w:val="1"/>
      <w:numFmt w:val="decimal"/>
      <w:lvlText w:val="%3."/>
      <w:lvlJc w:val="left"/>
      <w:pPr>
        <w:ind w:left="1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0040EE0">
      <w:start w:val="1"/>
      <w:numFmt w:val="decimal"/>
      <w:lvlText w:val="%4."/>
      <w:lvlJc w:val="left"/>
      <w:pPr>
        <w:ind w:left="2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904118">
      <w:start w:val="1"/>
      <w:numFmt w:val="decimal"/>
      <w:lvlText w:val="%5."/>
      <w:lvlJc w:val="left"/>
      <w:pPr>
        <w:ind w:left="34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5C5026">
      <w:start w:val="1"/>
      <w:numFmt w:val="decimal"/>
      <w:lvlText w:val="%6."/>
      <w:lvlJc w:val="left"/>
      <w:pPr>
        <w:ind w:left="4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CA4D354">
      <w:start w:val="1"/>
      <w:numFmt w:val="decimal"/>
      <w:lvlText w:val="%7."/>
      <w:lvlJc w:val="left"/>
      <w:pPr>
        <w:ind w:left="5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4037D2">
      <w:start w:val="1"/>
      <w:numFmt w:val="decimal"/>
      <w:lvlText w:val="%8."/>
      <w:lvlJc w:val="left"/>
      <w:pPr>
        <w:ind w:left="5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20E36C">
      <w:start w:val="1"/>
      <w:numFmt w:val="decimal"/>
      <w:lvlText w:val="%9."/>
      <w:lvlJc w:val="left"/>
      <w:pPr>
        <w:ind w:left="6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143353861">
    <w:abstractNumId w:val="5"/>
  </w:num>
  <w:num w:numId="2" w16cid:durableId="609043609">
    <w:abstractNumId w:val="4"/>
  </w:num>
  <w:num w:numId="3" w16cid:durableId="1786922071">
    <w:abstractNumId w:val="1"/>
  </w:num>
  <w:num w:numId="4" w16cid:durableId="252667137">
    <w:abstractNumId w:val="0"/>
  </w:num>
  <w:num w:numId="5" w16cid:durableId="1761876688">
    <w:abstractNumId w:val="3"/>
  </w:num>
  <w:num w:numId="6" w16cid:durableId="547038251">
    <w:abstractNumId w:val="2"/>
  </w:num>
  <w:num w:numId="7" w16cid:durableId="1277523560">
    <w:abstractNumId w:val="2"/>
    <w:lvlOverride w:ilvl="0">
      <w:lvl w:ilvl="0" w:tplc="A3D25AE2">
        <w:start w:val="1"/>
        <w:numFmt w:val="bullet"/>
        <w:lvlText w:val="•"/>
        <w:lvlJc w:val="left"/>
        <w:pPr>
          <w:ind w:left="587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7DEA8FA">
        <w:start w:val="1"/>
        <w:numFmt w:val="bullet"/>
        <w:lvlText w:val="•"/>
        <w:lvlJc w:val="left"/>
        <w:pPr>
          <w:ind w:left="778" w:hanging="1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DF45C6C">
        <w:start w:val="1"/>
        <w:numFmt w:val="bullet"/>
        <w:lvlText w:val="•"/>
        <w:lvlJc w:val="left"/>
        <w:pPr>
          <w:ind w:left="1378" w:hanging="1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AEE30A4">
        <w:start w:val="1"/>
        <w:numFmt w:val="bullet"/>
        <w:lvlText w:val="•"/>
        <w:lvlJc w:val="left"/>
        <w:pPr>
          <w:ind w:left="1978" w:hanging="1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5FC014A">
        <w:start w:val="1"/>
        <w:numFmt w:val="bullet"/>
        <w:lvlText w:val="•"/>
        <w:lvlJc w:val="left"/>
        <w:pPr>
          <w:ind w:left="2578" w:hanging="1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D62280E">
        <w:start w:val="1"/>
        <w:numFmt w:val="bullet"/>
        <w:lvlText w:val="•"/>
        <w:lvlJc w:val="left"/>
        <w:pPr>
          <w:ind w:left="3178" w:hanging="1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BBC78B2">
        <w:start w:val="1"/>
        <w:numFmt w:val="bullet"/>
        <w:lvlText w:val="•"/>
        <w:lvlJc w:val="left"/>
        <w:pPr>
          <w:ind w:left="3778" w:hanging="1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148724C">
        <w:start w:val="1"/>
        <w:numFmt w:val="bullet"/>
        <w:lvlText w:val="•"/>
        <w:lvlJc w:val="left"/>
        <w:pPr>
          <w:ind w:left="4378" w:hanging="1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9621BBE">
        <w:start w:val="1"/>
        <w:numFmt w:val="bullet"/>
        <w:lvlText w:val="•"/>
        <w:lvlJc w:val="left"/>
        <w:pPr>
          <w:ind w:left="4978" w:hanging="1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 w16cid:durableId="1034816026">
    <w:abstractNumId w:val="2"/>
    <w:lvlOverride w:ilvl="0">
      <w:lvl w:ilvl="0" w:tplc="A3D25AE2">
        <w:start w:val="1"/>
        <w:numFmt w:val="bullet"/>
        <w:lvlText w:val="•"/>
        <w:lvlJc w:val="left"/>
        <w:pPr>
          <w:ind w:left="58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7DEA8FA">
        <w:start w:val="1"/>
        <w:numFmt w:val="bullet"/>
        <w:lvlText w:val="•"/>
        <w:lvlJc w:val="left"/>
        <w:pPr>
          <w:ind w:left="77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DF45C6C">
        <w:start w:val="1"/>
        <w:numFmt w:val="bullet"/>
        <w:lvlText w:val="•"/>
        <w:lvlJc w:val="left"/>
        <w:pPr>
          <w:ind w:left="137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AEE30A4">
        <w:start w:val="1"/>
        <w:numFmt w:val="bullet"/>
        <w:lvlText w:val="•"/>
        <w:lvlJc w:val="left"/>
        <w:pPr>
          <w:ind w:left="197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5FC014A">
        <w:start w:val="1"/>
        <w:numFmt w:val="bullet"/>
        <w:lvlText w:val="•"/>
        <w:lvlJc w:val="left"/>
        <w:pPr>
          <w:ind w:left="257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D62280E">
        <w:start w:val="1"/>
        <w:numFmt w:val="bullet"/>
        <w:lvlText w:val="•"/>
        <w:lvlJc w:val="left"/>
        <w:pPr>
          <w:ind w:left="317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BBC78B2">
        <w:start w:val="1"/>
        <w:numFmt w:val="bullet"/>
        <w:lvlText w:val="•"/>
        <w:lvlJc w:val="left"/>
        <w:pPr>
          <w:ind w:left="377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148724C">
        <w:start w:val="1"/>
        <w:numFmt w:val="bullet"/>
        <w:lvlText w:val="•"/>
        <w:lvlJc w:val="left"/>
        <w:pPr>
          <w:ind w:left="437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9621BBE">
        <w:start w:val="1"/>
        <w:numFmt w:val="bullet"/>
        <w:lvlText w:val="•"/>
        <w:lvlJc w:val="left"/>
        <w:pPr>
          <w:ind w:left="497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70C"/>
    <w:rsid w:val="00176C78"/>
    <w:rsid w:val="003464A5"/>
    <w:rsid w:val="00393548"/>
    <w:rsid w:val="007E7905"/>
    <w:rsid w:val="00841FAA"/>
    <w:rsid w:val="008D4BF8"/>
    <w:rsid w:val="00A4791D"/>
    <w:rsid w:val="00B34184"/>
    <w:rsid w:val="00BB0CC8"/>
    <w:rsid w:val="00D12D1F"/>
    <w:rsid w:val="00DE7D6C"/>
    <w:rsid w:val="00EE770C"/>
    <w:rsid w:val="00F00835"/>
    <w:rsid w:val="00F04C95"/>
    <w:rsid w:val="00F40E5D"/>
    <w:rsid w:val="00FC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81760"/>
  <w15:docId w15:val="{E2EF53F2-EC7A-A24B-83A0-C8B3C44E2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Numbered">
    <w:name w:val="Numbered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Bullets">
    <w:name w:val="Bullets"/>
    <w:pPr>
      <w:numPr>
        <w:numId w:val="5"/>
      </w:numPr>
    </w:pPr>
  </w:style>
  <w:style w:type="paragraph" w:styleId="BodyText">
    <w:name w:val="Body Text"/>
    <w:pPr>
      <w:widowControl w:val="0"/>
      <w:spacing w:before="4"/>
      <w:ind w:left="40"/>
    </w:pPr>
    <w:rPr>
      <w:rFonts w:cs="Arial Unicode MS"/>
      <w:color w:val="000000"/>
      <w:sz w:val="23"/>
      <w:szCs w:val="23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Daphne Dumbrille</cp:lastModifiedBy>
  <cp:revision>11</cp:revision>
  <dcterms:created xsi:type="dcterms:W3CDTF">2022-07-12T20:11:00Z</dcterms:created>
  <dcterms:modified xsi:type="dcterms:W3CDTF">2024-04-23T16:01:00Z</dcterms:modified>
</cp:coreProperties>
</file>